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6A4" w:rsidP="00B726A4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DA COMISSÃO PERMANENTE DE:</w:t>
      </w:r>
    </w:p>
    <w:p w:rsidR="00B726A4" w:rsidP="00B726A4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B726A4" w:rsidP="00B726A4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  <w:u w:val="single"/>
        </w:rPr>
      </w:pPr>
    </w:p>
    <w:p w:rsidR="00B726A4" w:rsidP="00B726A4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                                   PROJETO DE LEI Nº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40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/202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6</w:t>
      </w:r>
    </w:p>
    <w:p w:rsidR="00B726A4" w:rsidP="00B726A4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Segoe UI" w:hAnsi="Segoe UI" w:cs="Segoe UI"/>
          <w:color w:val="212529"/>
        </w:rPr>
        <w:t> DISPÕE SOBRE A ABERTURA DE CRÉDITO ADICIONAL SUPLEMENTAR NO ORÇAMENTO DA CÂMARA MUNICIPAL DE LOUVEIRA, NO IMPORTE DE R$ 4.100.000,00 (QUATRO MILHÕES E CEM MIL REAIS) E DÁ OUTRAS PROVIDÊNCIAS.</w:t>
      </w:r>
    </w:p>
    <w:p w:rsidR="00B726A4" w:rsidP="00B726A4">
      <w:p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Autoria: Executivo Municipal.</w:t>
      </w:r>
    </w:p>
    <w:p w:rsidR="00B726A4" w:rsidP="00B726A4">
      <w:pPr>
        <w:ind w:left="2127"/>
        <w:rPr>
          <w:rFonts w:ascii="Calibri" w:hAnsi="Calibri" w:cs="Arial"/>
          <w:sz w:val="24"/>
          <w:szCs w:val="24"/>
        </w:rPr>
      </w:pPr>
    </w:p>
    <w:p w:rsidR="00B726A4" w:rsidP="00B726A4">
      <w:pPr>
        <w:ind w:left="2127"/>
        <w:rPr>
          <w:rFonts w:ascii="Calibri" w:hAnsi="Calibri" w:cs="Arial"/>
          <w:sz w:val="24"/>
          <w:szCs w:val="24"/>
        </w:rPr>
      </w:pPr>
    </w:p>
    <w:p w:rsidR="00B726A4" w:rsidP="00B726A4">
      <w:pPr>
        <w:ind w:left="2127"/>
        <w:rPr>
          <w:rFonts w:ascii="Calibri" w:hAnsi="Calibri" w:cs="Arial"/>
          <w:sz w:val="24"/>
          <w:szCs w:val="24"/>
        </w:rPr>
      </w:pPr>
    </w:p>
    <w:p w:rsidR="00B726A4" w:rsidP="00B726A4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em análise tramita nesta Casa, por iniciativa do Chefe do Executivo, e tem por objetivo abrir créditos adicionais suplementares no orçamento da </w:t>
      </w:r>
      <w:r>
        <w:rPr>
          <w:rFonts w:ascii="Calibri" w:hAnsi="Calibri" w:cs="Arial"/>
          <w:sz w:val="24"/>
          <w:szCs w:val="24"/>
        </w:rPr>
        <w:t>Câmara</w:t>
      </w:r>
      <w:r>
        <w:rPr>
          <w:rFonts w:ascii="Calibri" w:hAnsi="Calibri" w:cs="Arial"/>
          <w:sz w:val="24"/>
          <w:szCs w:val="24"/>
        </w:rPr>
        <w:t xml:space="preserve"> de 202</w:t>
      </w:r>
      <w:r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, anulando parcialmente outras dotações orçamentárias</w:t>
      </w:r>
      <w:r>
        <w:rPr>
          <w:rFonts w:ascii="Calibri" w:hAnsi="Calibri" w:cs="Arial"/>
          <w:sz w:val="24"/>
          <w:szCs w:val="24"/>
        </w:rPr>
        <w:t xml:space="preserve"> da própria Câmara</w:t>
      </w:r>
      <w:r>
        <w:rPr>
          <w:rFonts w:ascii="Calibri" w:hAnsi="Calibri" w:cs="Arial"/>
          <w:sz w:val="24"/>
          <w:szCs w:val="24"/>
        </w:rPr>
        <w:t>.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Veio instruído com a declaração de que fala a Lei de Responsabilidade Fiscal.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Tempestivamente </w:t>
      </w:r>
      <w:r>
        <w:rPr>
          <w:rFonts w:ascii="Calibri" w:hAnsi="Calibri" w:cs="Arial"/>
          <w:sz w:val="24"/>
          <w:szCs w:val="24"/>
        </w:rPr>
        <w:t xml:space="preserve">foi ofertada </w:t>
      </w:r>
      <w:r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 xml:space="preserve"> emenda.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</w:p>
    <w:p w:rsidR="00B726A4" w:rsidP="00B726A4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apresenta vício de iniciativa, na medida em que a competência é municipal, visto tratar-se de assunto de interesse local, nos termos do art. 21, inciso I, c/c o art. 70, inciso IV, da LOM.</w:t>
      </w:r>
    </w:p>
    <w:p w:rsidR="00B726A4" w:rsidP="00B726A4">
      <w:pPr>
        <w:jc w:val="both"/>
        <w:rPr>
          <w:rFonts w:ascii="Calibri" w:hAnsi="Calibri" w:cs="Arial"/>
          <w:sz w:val="24"/>
          <w:szCs w:val="24"/>
        </w:rPr>
      </w:pPr>
    </w:p>
    <w:p w:rsidR="00B726A4" w:rsidP="00B726A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disposto no art. 33, III da Constituição Federal, que prevê, para tanto, a competência do município.</w:t>
      </w:r>
    </w:p>
    <w:p w:rsidR="00B726A4" w:rsidP="00B726A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Quanto às normas da técnica legislativa e de </w:t>
      </w:r>
      <w:r>
        <w:rPr>
          <w:rFonts w:ascii="Calibri" w:hAnsi="Calibri" w:cs="Arial"/>
          <w:sz w:val="24"/>
          <w:szCs w:val="24"/>
        </w:rPr>
        <w:t>legística</w:t>
      </w:r>
      <w:r>
        <w:rPr>
          <w:rFonts w:ascii="Calibri" w:hAnsi="Calibri" w:cs="Arial"/>
          <w:sz w:val="24"/>
          <w:szCs w:val="24"/>
        </w:rPr>
        <w:t>, a proposição está correta.</w:t>
      </w:r>
    </w:p>
    <w:p w:rsidR="00B726A4" w:rsidP="00B726A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:rsidR="00B726A4" w:rsidP="00B726A4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B726A4" w:rsidP="00B726A4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B726A4" w:rsidP="00B726A4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</w:t>
      </w:r>
      <w:r>
        <w:rPr>
          <w:rFonts w:ascii="Calibri" w:hAnsi="Calibri" w:cs="Arial"/>
          <w:bCs/>
          <w:sz w:val="24"/>
          <w:szCs w:val="24"/>
        </w:rPr>
        <w:t xml:space="preserve">8 </w:t>
      </w:r>
      <w:r>
        <w:rPr>
          <w:rFonts w:ascii="Calibri" w:hAnsi="Calibri" w:cs="Arial"/>
          <w:bCs/>
          <w:sz w:val="24"/>
          <w:szCs w:val="24"/>
        </w:rPr>
        <w:t xml:space="preserve">de </w:t>
      </w:r>
      <w:r>
        <w:rPr>
          <w:rFonts w:ascii="Calibri" w:hAnsi="Calibri" w:cs="Arial"/>
          <w:bCs/>
          <w:sz w:val="24"/>
          <w:szCs w:val="24"/>
        </w:rPr>
        <w:t>maio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>
        <w:rPr>
          <w:rFonts w:ascii="Calibri" w:hAnsi="Calibri" w:cs="Arial"/>
          <w:bCs/>
          <w:sz w:val="24"/>
          <w:szCs w:val="24"/>
        </w:rPr>
        <w:t>6</w:t>
      </w:r>
      <w:bookmarkStart w:id="0" w:name="_GoBack"/>
      <w:bookmarkEnd w:id="0"/>
      <w:r>
        <w:rPr>
          <w:rFonts w:ascii="Calibri" w:hAnsi="Calibri" w:cs="Arial"/>
          <w:bCs/>
          <w:sz w:val="24"/>
          <w:szCs w:val="24"/>
        </w:rPr>
        <w:t>.</w:t>
      </w:r>
    </w:p>
    <w:p w:rsidR="00B726A4" w:rsidP="00B726A4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B726A4" w:rsidP="00B726A4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Comissão Permanente de Justiça e Redação:</w:t>
      </w:r>
    </w:p>
    <w:p w:rsidR="00B726A4" w:rsidP="00B726A4">
      <w:pPr>
        <w:spacing w:line="276" w:lineRule="auto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Presidente:</w:t>
      </w:r>
    </w:p>
    <w:p w:rsidR="00B726A4" w:rsidP="00B726A4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LEANDRO LOURENÇON _______________________________</w:t>
      </w:r>
    </w:p>
    <w:p w:rsidR="00B726A4" w:rsidP="00B726A4">
      <w:pPr>
        <w:spacing w:line="276" w:lineRule="auto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Vice-presidente: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:rsidR="00B726A4" w:rsidP="00B726A4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GILBERTO TEIXEIRA BARBOSA___________________________</w:t>
      </w:r>
    </w:p>
    <w:p w:rsidR="00B726A4" w:rsidP="00B726A4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B726A4" w:rsidP="00B726A4">
      <w:pPr>
        <w:spacing w:line="276" w:lineRule="auto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CLAUDENILDO GOMES DA CRUZ___________________________</w:t>
      </w:r>
    </w:p>
    <w:p w:rsidR="00164F56"/>
    <w:sectPr w:rsidSect="00B726A4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37"/>
    <w:rsid w:val="00164F56"/>
    <w:rsid w:val="00825637"/>
    <w:rsid w:val="00B726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2026-05-25T12:57:00Z</dcterms:created>
  <dcterms:modified xsi:type="dcterms:W3CDTF">2026-05-25T13:02:00Z</dcterms:modified>
</cp:coreProperties>
</file>